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47" w:rsidRDefault="00211D47" w:rsidP="00211D47">
      <w:pPr>
        <w:spacing w:after="0" w:line="240" w:lineRule="auto"/>
        <w:ind w:right="-427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PRIMERA OCUPACIÓ</w:t>
      </w:r>
    </w:p>
    <w:p w:rsidR="00211D47" w:rsidRDefault="00211D47" w:rsidP="00211D47">
      <w:pPr>
        <w:spacing w:before="240" w:line="240" w:lineRule="auto"/>
        <w:ind w:right="-427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Les primeres ocupacions d’</w:t>
      </w:r>
      <w:r w:rsidRPr="00906EFC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 xml:space="preserve">edificis 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estan sotmeses al règim de </w:t>
      </w:r>
      <w:r w:rsidRPr="00906EFC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>comunicació prèvia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.</w:t>
      </w:r>
    </w:p>
    <w:p w:rsidR="00211D47" w:rsidRDefault="00211D47" w:rsidP="00211D47">
      <w:pPr>
        <w:spacing w:line="240" w:lineRule="auto"/>
        <w:ind w:right="-427"/>
        <w:jc w:val="both"/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Les primeres ocupacions </w:t>
      </w:r>
      <w:r w:rsidRPr="006C7AB5"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>parcials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d’un edifici, estan sotmeses al règim de </w:t>
      </w:r>
      <w:r>
        <w:rPr>
          <w:rFonts w:ascii="Calibri" w:eastAsia="Times New Roman" w:hAnsi="Calibri" w:cs="Calibri"/>
          <w:b/>
          <w:color w:val="000000"/>
          <w:sz w:val="28"/>
          <w:szCs w:val="31"/>
          <w:lang w:eastAsia="es-ES"/>
        </w:rPr>
        <w:t>llicència urbanística.</w:t>
      </w:r>
    </w:p>
    <w:p w:rsidR="00211D47" w:rsidRDefault="00211D47" w:rsidP="00211D47">
      <w:pPr>
        <w:spacing w:line="240" w:lineRule="auto"/>
        <w:ind w:right="-427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Segons l’art. 25 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de la normativa urbanística del PGO, no es podrà atorgar la primera ocupació si no s’han reposat tots els mals, danys i prejudicis causats a la via pública.</w:t>
      </w:r>
    </w:p>
    <w:p w:rsidR="00211D47" w:rsidRPr="006C7AB5" w:rsidRDefault="00211D47" w:rsidP="00211D47">
      <w:p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6C7AB5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Documentació a presentar:</w:t>
      </w:r>
    </w:p>
    <w:p w:rsidR="00211D47" w:rsidRPr="00646BE9" w:rsidRDefault="00211D47" w:rsidP="00211D47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Certificat final d’obra, signat i visat.</w:t>
      </w:r>
    </w:p>
    <w:p w:rsidR="00211D47" w:rsidRPr="00646BE9" w:rsidRDefault="00211D47" w:rsidP="00211D47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Certificat del gestor de residus.</w:t>
      </w:r>
    </w:p>
    <w:p w:rsidR="00211D47" w:rsidRPr="00646BE9" w:rsidRDefault="00211D47" w:rsidP="00211D47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Alta al cadastre (Model 902)</w:t>
      </w:r>
    </w:p>
    <w:p w:rsidR="00211D47" w:rsidRPr="00646BE9" w:rsidRDefault="00211D47" w:rsidP="00211D47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Fotografies de l’obra acabada i de la via pública afectada.</w:t>
      </w:r>
    </w:p>
    <w:p w:rsidR="00211D47" w:rsidRPr="00646BE9" w:rsidRDefault="00211D47" w:rsidP="00211D47">
      <w:pPr>
        <w:pStyle w:val="Prrafodelista"/>
        <w:numPr>
          <w:ilvl w:val="0"/>
          <w:numId w:val="1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Certificació de la Direcció General de Telecomunicacions i </w:t>
      </w:r>
    </w:p>
    <w:p w:rsidR="00211D47" w:rsidRPr="00646BE9" w:rsidRDefault="00211D47" w:rsidP="00211D47">
      <w:pPr>
        <w:spacing w:after="0" w:line="240" w:lineRule="auto"/>
        <w:ind w:left="1418" w:right="-427" w:hanging="2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Societat de la Informació de la Generalitat de Catalunya, si escau.</w:t>
      </w:r>
    </w:p>
    <w:p w:rsidR="00211D47" w:rsidRPr="00211D47" w:rsidRDefault="00211D47" w:rsidP="00211D47">
      <w:pPr>
        <w:pStyle w:val="Prrafodelista"/>
        <w:numPr>
          <w:ilvl w:val="0"/>
          <w:numId w:val="1"/>
        </w:numPr>
        <w:spacing w:after="0" w:line="240" w:lineRule="auto"/>
        <w:ind w:left="1418" w:right="-427" w:hanging="105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46BE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Altres condicions de llicència (segons les condicions establertes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</w:t>
      </w:r>
      <w:r w:rsidRPr="00211D47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en l’atorgament de la llicència d’obres).</w:t>
      </w:r>
    </w:p>
    <w:p w:rsidR="00211D47" w:rsidRDefault="00211D47" w:rsidP="00211D47">
      <w:pPr>
        <w:pStyle w:val="Prrafodelista"/>
        <w:numPr>
          <w:ilvl w:val="0"/>
          <w:numId w:val="7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Pagament de la taxa: </w:t>
      </w:r>
    </w:p>
    <w:p w:rsidR="00211D47" w:rsidRDefault="00211D47" w:rsidP="00211D47">
      <w:pPr>
        <w:pStyle w:val="Prrafodelista"/>
        <w:numPr>
          <w:ilvl w:val="2"/>
          <w:numId w:val="7"/>
        </w:num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11D47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0,17% del pressupost presentat</w:t>
      </w:r>
    </w:p>
    <w:p w:rsidR="00211D47" w:rsidRDefault="00211D47" w:rsidP="00211D47">
      <w:pPr>
        <w:pStyle w:val="Prrafodelista"/>
        <w:numPr>
          <w:ilvl w:val="0"/>
          <w:numId w:val="7"/>
        </w:numPr>
        <w:spacing w:after="0" w:line="240" w:lineRule="auto"/>
        <w:ind w:left="1418" w:right="-427" w:hanging="105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Poders/autorització de representació i DNI/CIF del representant i del representat, si escau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.</w:t>
      </w:r>
    </w:p>
    <w:p w:rsidR="00211D47" w:rsidRPr="002915CB" w:rsidRDefault="00211D47" w:rsidP="00211D47">
      <w:pPr>
        <w:pStyle w:val="Prrafodelista"/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</w:p>
    <w:p w:rsidR="00211D47" w:rsidRPr="00646BE9" w:rsidRDefault="00211D47" w:rsidP="00211D47">
      <w:pPr>
        <w:spacing w:after="0" w:line="240" w:lineRule="auto"/>
        <w:ind w:right="-427"/>
        <w:jc w:val="both"/>
        <w:rPr>
          <w:rFonts w:ascii="Calibri" w:eastAsia="Times New Roman" w:hAnsi="Calibri" w:cs="Calibri"/>
          <w:color w:val="000000"/>
          <w:szCs w:val="23"/>
          <w:lang w:eastAsia="es-ES"/>
        </w:rPr>
      </w:pPr>
      <w:r w:rsidRPr="00351B41">
        <w:rPr>
          <w:rFonts w:ascii="Calibri" w:eastAsia="Times New Roman" w:hAnsi="Calibri" w:cs="Calibri"/>
          <w:color w:val="000000"/>
          <w:szCs w:val="23"/>
          <w:lang w:eastAsia="es-ES"/>
        </w:rPr>
        <w:t>*</w:t>
      </w:r>
      <w:r>
        <w:rPr>
          <w:rFonts w:ascii="Calibri" w:eastAsia="Times New Roman" w:hAnsi="Calibri" w:cs="Calibri"/>
          <w:color w:val="000000"/>
          <w:szCs w:val="23"/>
          <w:lang w:eastAsia="es-ES"/>
        </w:rPr>
        <w:t xml:space="preserve"> </w:t>
      </w:r>
      <w:r w:rsidRPr="00646BE9">
        <w:rPr>
          <w:rFonts w:ascii="Calibri" w:eastAsia="Times New Roman" w:hAnsi="Calibri" w:cs="Calibri"/>
          <w:color w:val="000000"/>
          <w:szCs w:val="23"/>
          <w:lang w:eastAsia="es-ES"/>
        </w:rPr>
        <w:t>Només es pot utilitzar i ocupar l'edifici o la construcció després que hagi transcorregut el termini d'un mes des de la presentació de la comunicació i documentació adjunta o, si s'escau, de l'esmena de la comunicació o l'aportació dels documents requerits</w:t>
      </w:r>
      <w:r>
        <w:rPr>
          <w:rFonts w:ascii="Calibri" w:eastAsia="Times New Roman" w:hAnsi="Calibri" w:cs="Calibri"/>
          <w:color w:val="000000"/>
          <w:szCs w:val="23"/>
          <w:lang w:eastAsia="es-ES"/>
        </w:rPr>
        <w:t>;</w:t>
      </w:r>
      <w:r w:rsidRPr="00646BE9">
        <w:rPr>
          <w:rFonts w:ascii="Calibri" w:eastAsia="Times New Roman" w:hAnsi="Calibri" w:cs="Calibri"/>
          <w:color w:val="000000"/>
          <w:szCs w:val="23"/>
          <w:lang w:eastAsia="es-ES"/>
        </w:rPr>
        <w:t xml:space="preserve"> sense que l'administració atorgant hagi manifestat la disconformitat de les obres executades amb el projecte tècnic autoritzat i les condicions de la llicència urbanística atorgada.</w:t>
      </w:r>
    </w:p>
    <w:p w:rsidR="008E082A" w:rsidRPr="00211D47" w:rsidRDefault="008E082A" w:rsidP="00211D47">
      <w:pPr>
        <w:spacing w:after="0" w:line="240" w:lineRule="auto"/>
        <w:ind w:right="-427"/>
      </w:pPr>
    </w:p>
    <w:sectPr w:rsidR="008E082A" w:rsidRPr="00211D47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" w15:restartNumberingAfterBreak="0">
    <w:nsid w:val="7EB41298"/>
    <w:multiLevelType w:val="hybridMultilevel"/>
    <w:tmpl w:val="0512BD1E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11D47"/>
    <w:rsid w:val="002A3DAD"/>
    <w:rsid w:val="002C17FD"/>
    <w:rsid w:val="002D34D4"/>
    <w:rsid w:val="002F6625"/>
    <w:rsid w:val="00373D3B"/>
    <w:rsid w:val="003D1603"/>
    <w:rsid w:val="00431E43"/>
    <w:rsid w:val="004E7589"/>
    <w:rsid w:val="005D46FD"/>
    <w:rsid w:val="00605213"/>
    <w:rsid w:val="00613AC5"/>
    <w:rsid w:val="00635D33"/>
    <w:rsid w:val="00710294"/>
    <w:rsid w:val="00763CCC"/>
    <w:rsid w:val="007855A9"/>
    <w:rsid w:val="00793B41"/>
    <w:rsid w:val="008B1126"/>
    <w:rsid w:val="008B2B29"/>
    <w:rsid w:val="008E082A"/>
    <w:rsid w:val="00AB6634"/>
    <w:rsid w:val="00D0404F"/>
    <w:rsid w:val="00DD6E32"/>
    <w:rsid w:val="00E334B7"/>
    <w:rsid w:val="00E53FB1"/>
    <w:rsid w:val="00E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2026-04-16T10:57:00Z</dcterms:created>
  <dcterms:modified xsi:type="dcterms:W3CDTF">2026-04-16T10:57:00Z</dcterms:modified>
</cp:coreProperties>
</file>